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4A7B40">
        <w:rPr>
          <w:color w:val="000000" w:themeColor="text1"/>
        </w:rPr>
        <w:t>4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E45A87" w:rsidP="00EC3B5F">
      <w:pPr>
        <w:pStyle w:val="a3"/>
        <w:ind w:firstLine="851"/>
        <w:rPr>
          <w:color w:val="000000" w:themeColor="text1"/>
        </w:rPr>
      </w:pPr>
      <w:r>
        <w:rPr>
          <w:color w:val="000000" w:themeColor="text1"/>
        </w:rPr>
        <w:t>Общество с ограниченной о</w:t>
      </w:r>
      <w:r w:rsidR="00F913C8" w:rsidRPr="008E3201">
        <w:rPr>
          <w:color w:val="000000" w:themeColor="text1"/>
        </w:rPr>
        <w:t xml:space="preserve">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="00F913C8"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="00F913C8" w:rsidRPr="008E3201">
        <w:rPr>
          <w:color w:val="000000" w:themeColor="text1"/>
        </w:rPr>
        <w:t xml:space="preserve">  (ООО «Иркутскэнергосбыт»), именуемое в дальнейшем </w:t>
      </w:r>
      <w:r w:rsidR="00F913C8" w:rsidRPr="008E3201">
        <w:rPr>
          <w:b/>
          <w:color w:val="000000" w:themeColor="text1"/>
        </w:rPr>
        <w:t>«Заказчик»</w:t>
      </w:r>
      <w:r w:rsidR="00F913C8"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="00F913C8"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="00F913C8"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="00F913C8"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="00F913C8" w:rsidRPr="008E3201">
        <w:rPr>
          <w:color w:val="000000" w:themeColor="text1"/>
        </w:rPr>
        <w:t xml:space="preserve"> г.</w:t>
      </w:r>
      <w:r w:rsidR="00F913C8" w:rsidRPr="008E3201">
        <w:rPr>
          <w:b/>
          <w:color w:val="000000" w:themeColor="text1"/>
        </w:rPr>
        <w:t>,</w:t>
      </w:r>
      <w:r w:rsidR="00F913C8"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DD555B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DD555B">
        <w:rPr>
          <w:b/>
          <w:color w:val="000000" w:themeColor="text1"/>
        </w:rPr>
        <w:t>Р</w:t>
      </w:r>
      <w:r w:rsidR="00035C23">
        <w:rPr>
          <w:b/>
          <w:color w:val="000000" w:themeColor="text1"/>
        </w:rPr>
        <w:t>емонт по Дизайн-</w:t>
      </w:r>
      <w:r w:rsidR="00DD555B" w:rsidRPr="00DD555B">
        <w:rPr>
          <w:b/>
          <w:color w:val="000000" w:themeColor="text1"/>
        </w:rPr>
        <w:t>решению арендованных помещений</w:t>
      </w:r>
      <w:r w:rsidR="00DD4182" w:rsidRPr="00DD4182">
        <w:rPr>
          <w:b/>
          <w:color w:val="000000" w:themeColor="text1"/>
        </w:rPr>
        <w:t xml:space="preserve"> </w:t>
      </w:r>
      <w:r w:rsidR="00DD555B" w:rsidRPr="00DD555B">
        <w:rPr>
          <w:b/>
          <w:color w:val="000000" w:themeColor="text1"/>
        </w:rPr>
        <w:t xml:space="preserve">по адресу: Иркутская область, г. Ангарск, ул. Трудовые резервы, 34 </w:t>
      </w:r>
      <w:r w:rsidR="00A65C7C">
        <w:rPr>
          <w:b/>
          <w:color w:val="000000" w:themeColor="text1"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 w:rsidR="002062E7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 w:rsidR="002062E7"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 xml:space="preserve">3.1.1. Выполнить работы, являющиеся предметом настоящего договора, в соответствии </w:t>
      </w:r>
      <w:r w:rsidRPr="003D2227">
        <w:rPr>
          <w:b/>
          <w:color w:val="000000" w:themeColor="text1"/>
        </w:rPr>
        <w:t xml:space="preserve">с </w:t>
      </w:r>
      <w:r w:rsidR="003D2227" w:rsidRPr="003D2227">
        <w:rPr>
          <w:b/>
          <w:color w:val="000000" w:themeColor="text1"/>
        </w:rPr>
        <w:t>дизайн-решением</w:t>
      </w:r>
      <w:r w:rsidR="003D2227">
        <w:rPr>
          <w:b/>
          <w:color w:val="000000" w:themeColor="text1"/>
        </w:rPr>
        <w:t xml:space="preserve"> </w:t>
      </w:r>
      <w:r w:rsidR="003D2227" w:rsidRPr="003D2227">
        <w:rPr>
          <w:color w:val="000000" w:themeColor="text1"/>
        </w:rPr>
        <w:t>(Приложени</w:t>
      </w:r>
      <w:r w:rsidR="00492DF6">
        <w:rPr>
          <w:color w:val="000000" w:themeColor="text1"/>
        </w:rPr>
        <w:t>я</w:t>
      </w:r>
      <w:r w:rsidR="003D2227" w:rsidRPr="003D2227">
        <w:rPr>
          <w:color w:val="000000" w:themeColor="text1"/>
        </w:rPr>
        <w:t xml:space="preserve"> №1</w:t>
      </w:r>
      <w:r w:rsidR="00492DF6">
        <w:rPr>
          <w:color w:val="000000" w:themeColor="text1"/>
        </w:rPr>
        <w:t xml:space="preserve">, </w:t>
      </w:r>
      <w:r w:rsidR="00826A45">
        <w:rPr>
          <w:color w:val="000000" w:themeColor="text1"/>
        </w:rPr>
        <w:t>№ 1.1</w:t>
      </w:r>
      <w:r w:rsidR="003D2227" w:rsidRPr="003D2227">
        <w:rPr>
          <w:color w:val="000000" w:themeColor="text1"/>
        </w:rPr>
        <w:t>)</w:t>
      </w:r>
      <w:r w:rsidR="003D2227">
        <w:rPr>
          <w:b/>
          <w:color w:val="000000" w:themeColor="text1"/>
        </w:rPr>
        <w:t xml:space="preserve">, </w:t>
      </w:r>
      <w:r w:rsidRPr="00254EF9">
        <w:rPr>
          <w:color w:val="000000" w:themeColor="text1"/>
        </w:rPr>
        <w:t>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="00D56C88">
        <w:rPr>
          <w:color w:val="000000" w:themeColor="text1"/>
        </w:rPr>
        <w:t>Приложение №</w:t>
      </w:r>
      <w:r w:rsidR="003D2227">
        <w:rPr>
          <w:color w:val="000000" w:themeColor="text1"/>
        </w:rPr>
        <w:t>2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3D2227">
        <w:rPr>
          <w:color w:val="000000" w:themeColor="text1"/>
        </w:rPr>
        <w:t>3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</w:t>
      </w:r>
      <w:r w:rsidR="003D2227">
        <w:rPr>
          <w:color w:val="000000" w:themeColor="text1"/>
        </w:rPr>
        <w:t>4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внутриобъектовом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>001-2012 «О пропускном и внутриобъектовом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6912E1">
        <w:rPr>
          <w:color w:val="000000" w:themeColor="text1"/>
        </w:rPr>
        <w:t>7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6912E1">
        <w:rPr>
          <w:color w:val="000000" w:themeColor="text1"/>
        </w:rPr>
        <w:t>8</w:t>
      </w:r>
      <w:r w:rsidR="00C554C5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ED79AF" w:rsidRDefault="00ED79AF" w:rsidP="000C658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3.1.16. </w:t>
      </w:r>
      <w:r w:rsidRPr="00690039">
        <w:rPr>
          <w:color w:val="000000" w:themeColor="text1"/>
        </w:rPr>
        <w:t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</w:t>
      </w:r>
      <w:r>
        <w:rPr>
          <w:color w:val="000000" w:themeColor="text1"/>
        </w:rPr>
        <w:t>рии предприятия ООО «Иркутская Э</w:t>
      </w:r>
      <w:r w:rsidRPr="00690039">
        <w:rPr>
          <w:color w:val="000000" w:themeColor="text1"/>
        </w:rPr>
        <w:t>нергосбытовая компания», а также персонал организации подрядчика обязан пройти вводный инструктаж с регистрацией инструктажей в «Журнале регистрации вводного инструктажа» по пожарной безопасности и охране труда подписями инструктирующего и инструктируемого;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27AF5">
        <w:rPr>
          <w:color w:val="000000" w:themeColor="text1"/>
        </w:rPr>
        <w:t>9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6912E1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D27AF5">
        <w:rPr>
          <w:color w:val="000000" w:themeColor="text1"/>
        </w:rPr>
        <w:t>20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D27AF5">
        <w:rPr>
          <w:color w:val="000000" w:themeColor="text1"/>
        </w:rPr>
        <w:t>1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6912E1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6912E1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6912E1">
        <w:rPr>
          <w:color w:val="000000"/>
        </w:rPr>
        <w:t>10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2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6912E1">
        <w:rPr>
          <w:color w:val="000000"/>
        </w:rPr>
        <w:t>11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601F2E">
        <w:rPr>
          <w:color w:val="000000"/>
        </w:rPr>
        <w:t>1</w:t>
      </w:r>
      <w:r w:rsidR="006912E1">
        <w:rPr>
          <w:color w:val="000000"/>
        </w:rPr>
        <w:t>1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6912E1">
        <w:rPr>
          <w:color w:val="000000"/>
        </w:rPr>
        <w:t>10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D27AF5">
        <w:rPr>
          <w:color w:val="000000"/>
        </w:rPr>
        <w:t>3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4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5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 w:rsidR="00D27AF5">
        <w:rPr>
          <w:color w:val="000000"/>
        </w:rPr>
        <w:t>6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 xml:space="preserve">Предоставляет Заказчику не реже 1 раза в месяц или до момента прекращения работ отчетность по охране труда по унифицированной форме (Приложение № </w:t>
      </w:r>
      <w:r w:rsidR="00C92AE8">
        <w:rPr>
          <w:color w:val="000000"/>
        </w:rPr>
        <w:t>1</w:t>
      </w:r>
      <w:r w:rsidR="006912E1">
        <w:rPr>
          <w:color w:val="000000"/>
        </w:rPr>
        <w:t>2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6912E1">
        <w:rPr>
          <w:color w:val="000000"/>
        </w:rPr>
        <w:t>10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4F7DC8" w:rsidRPr="00633DA3" w:rsidRDefault="004F7DC8" w:rsidP="00A673B9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3A5935">
        <w:rPr>
          <w:color w:val="000000" w:themeColor="text1"/>
        </w:rPr>
        <w:t xml:space="preserve"> </w:t>
      </w:r>
      <w:r w:rsidR="005D3A10">
        <w:rPr>
          <w:color w:val="000000" w:themeColor="text1"/>
        </w:rPr>
        <w:t xml:space="preserve">в течение </w:t>
      </w:r>
      <w:r w:rsidR="00C80FC0">
        <w:rPr>
          <w:color w:val="000000" w:themeColor="text1"/>
        </w:rPr>
        <w:t>60</w:t>
      </w:r>
      <w:r w:rsidR="005D3A10">
        <w:rPr>
          <w:color w:val="000000" w:themeColor="text1"/>
        </w:rPr>
        <w:t xml:space="preserve"> календарных дней с момента подписания договора подряда</w:t>
      </w:r>
      <w:r w:rsidR="00241D9A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3D22D3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182697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3D22D3">
        <w:rPr>
          <w:color w:val="000000" w:themeColor="text1"/>
        </w:rPr>
        <w:t>8</w:t>
      </w:r>
      <w:r w:rsidR="00664FF6">
        <w:rPr>
          <w:color w:val="000000" w:themeColor="text1"/>
        </w:rPr>
        <w:t>,</w:t>
      </w:r>
      <w:r w:rsidR="003D22D3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3D22D3">
        <w:rPr>
          <w:color w:val="000000" w:themeColor="text1"/>
        </w:rPr>
        <w:t>7</w:t>
      </w:r>
      <w:r w:rsidRPr="00514FA4">
        <w:rPr>
          <w:color w:val="000000" w:themeColor="text1"/>
        </w:rPr>
        <w:t xml:space="preserve"> и </w:t>
      </w:r>
      <w:r w:rsidR="003D22D3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 xml:space="preserve"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</w:t>
      </w:r>
      <w:r w:rsidRPr="007B14DB">
        <w:rPr>
          <w:color w:val="000000" w:themeColor="text1"/>
        </w:rPr>
        <w:lastRenderedPageBreak/>
        <w:t>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внутриобъектовом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E67324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1D77F7" w:rsidRDefault="001D77F7" w:rsidP="006C1533">
      <w:pPr>
        <w:jc w:val="both"/>
        <w:rPr>
          <w:bCs/>
          <w:color w:val="000000" w:themeColor="text1"/>
        </w:rPr>
      </w:pPr>
      <w:r w:rsidRPr="001D77F7">
        <w:rPr>
          <w:bCs/>
          <w:color w:val="000000" w:themeColor="text1"/>
        </w:rPr>
        <w:t xml:space="preserve">- Приложение № 1 – </w:t>
      </w:r>
      <w:r>
        <w:rPr>
          <w:bCs/>
          <w:color w:val="000000" w:themeColor="text1"/>
        </w:rPr>
        <w:t>Дизайн</w:t>
      </w:r>
      <w:r w:rsidR="00531479">
        <w:rPr>
          <w:bCs/>
          <w:color w:val="000000" w:themeColor="text1"/>
        </w:rPr>
        <w:t>-</w:t>
      </w:r>
      <w:r>
        <w:rPr>
          <w:bCs/>
          <w:color w:val="000000" w:themeColor="text1"/>
        </w:rPr>
        <w:t>решение</w:t>
      </w:r>
      <w:r w:rsidR="00826A45">
        <w:rPr>
          <w:bCs/>
          <w:color w:val="000000" w:themeColor="text1"/>
        </w:rPr>
        <w:t>;</w:t>
      </w:r>
    </w:p>
    <w:p w:rsidR="00826A45" w:rsidRDefault="00826A4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Приложение № 1.1. </w:t>
      </w:r>
      <w:r w:rsidR="004B2CC3">
        <w:rPr>
          <w:bCs/>
          <w:color w:val="000000" w:themeColor="text1"/>
        </w:rPr>
        <w:t>–</w:t>
      </w:r>
      <w:r>
        <w:rPr>
          <w:bCs/>
          <w:color w:val="000000" w:themeColor="text1"/>
        </w:rPr>
        <w:t xml:space="preserve"> </w:t>
      </w:r>
      <w:r w:rsidR="004B2CC3">
        <w:rPr>
          <w:bCs/>
          <w:color w:val="000000" w:themeColor="text1"/>
        </w:rPr>
        <w:t>Техническое решение к Дизайн-решению;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294268">
        <w:rPr>
          <w:bCs/>
          <w:color w:val="000000" w:themeColor="text1"/>
        </w:rPr>
        <w:t>2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  <w:r w:rsidR="004B2CC3">
        <w:rPr>
          <w:bCs/>
          <w:color w:val="000000" w:themeColor="text1"/>
        </w:rPr>
        <w:t>;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294268">
        <w:rPr>
          <w:bCs/>
          <w:color w:val="000000" w:themeColor="text1"/>
        </w:rPr>
        <w:t>3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  <w:r w:rsidR="004B2CC3">
        <w:rPr>
          <w:bCs/>
          <w:color w:val="000000" w:themeColor="text1"/>
        </w:rPr>
        <w:t>;</w:t>
      </w:r>
    </w:p>
    <w:p w:rsidR="002E3A7B" w:rsidRPr="008E3201" w:rsidRDefault="00FB2A59" w:rsidP="00564986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Приложение № </w:t>
      </w:r>
      <w:r w:rsidR="00294268">
        <w:rPr>
          <w:bCs/>
          <w:color w:val="000000" w:themeColor="text1"/>
        </w:rPr>
        <w:t>4</w:t>
      </w:r>
      <w:r w:rsidR="002E3A7B" w:rsidRPr="002E3A7B">
        <w:rPr>
          <w:bCs/>
          <w:color w:val="000000" w:themeColor="text1"/>
        </w:rPr>
        <w:t xml:space="preserve"> -  График производства работ №1</w:t>
      </w:r>
      <w:r w:rsidR="004B2CC3">
        <w:rPr>
          <w:bCs/>
          <w:color w:val="000000" w:themeColor="text1"/>
        </w:rPr>
        <w:t>;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294268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  <w:r w:rsidR="004B2CC3">
        <w:rPr>
          <w:bCs/>
          <w:color w:val="000000" w:themeColor="text1"/>
        </w:rPr>
        <w:t>;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294268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  <w:r w:rsidR="004B2CC3">
        <w:rPr>
          <w:bCs/>
          <w:color w:val="000000" w:themeColor="text1"/>
        </w:rPr>
        <w:t>;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294268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4B2CC3">
        <w:rPr>
          <w:bCs/>
          <w:color w:val="000000" w:themeColor="text1"/>
        </w:rPr>
        <w:t>;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294268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</w:t>
      </w:r>
      <w:r w:rsidR="004B2CC3">
        <w:rPr>
          <w:bCs/>
        </w:rPr>
        <w:t>нтов»;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294268">
        <w:rPr>
          <w:bCs/>
        </w:rPr>
        <w:t>9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294268">
        <w:rPr>
          <w:bCs/>
        </w:rPr>
        <w:t>10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FB2A59">
        <w:rPr>
          <w:bCs/>
        </w:rPr>
        <w:t>1</w:t>
      </w:r>
      <w:r w:rsidR="00294268">
        <w:rPr>
          <w:bCs/>
        </w:rPr>
        <w:t>1</w:t>
      </w:r>
      <w:r w:rsidR="00847809" w:rsidRPr="00847809">
        <w:rPr>
          <w:bCs/>
        </w:rPr>
        <w:t xml:space="preserve"> - Соглашение о соблюдении Подрядчиком требований в области ан</w:t>
      </w:r>
      <w:r w:rsidR="004B2CC3">
        <w:rPr>
          <w:bCs/>
        </w:rPr>
        <w:t>титеррористической безопасности;</w:t>
      </w:r>
    </w:p>
    <w:p w:rsidR="00E038E6" w:rsidRDefault="00065A55" w:rsidP="007C3832">
      <w:pPr>
        <w:jc w:val="both"/>
        <w:rPr>
          <w:bCs/>
        </w:rPr>
      </w:pPr>
      <w:r>
        <w:rPr>
          <w:bCs/>
        </w:rPr>
        <w:t>- Приложение № 1</w:t>
      </w:r>
      <w:r w:rsidR="00294268">
        <w:rPr>
          <w:bCs/>
        </w:rPr>
        <w:t>2</w:t>
      </w:r>
      <w:r w:rsidR="00E038E6">
        <w:rPr>
          <w:bCs/>
        </w:rPr>
        <w:t xml:space="preserve"> – Форма сбора отчетности по охране труда подрядной организации</w:t>
      </w:r>
      <w:r w:rsidR="004B2CC3">
        <w:rPr>
          <w:bCs/>
        </w:rPr>
        <w:t>;</w:t>
      </w:r>
    </w:p>
    <w:p w:rsidR="001D7FD1" w:rsidRPr="001D7FD1" w:rsidRDefault="001D7FD1" w:rsidP="007C3832">
      <w:pPr>
        <w:jc w:val="both"/>
        <w:rPr>
          <w:bCs/>
        </w:rPr>
      </w:pPr>
      <w:r w:rsidRPr="00E45A87">
        <w:rPr>
          <w:bCs/>
        </w:rPr>
        <w:t xml:space="preserve">- </w:t>
      </w:r>
      <w:r>
        <w:rPr>
          <w:bCs/>
        </w:rPr>
        <w:t>Приложение № 1</w:t>
      </w:r>
      <w:r w:rsidR="00294268">
        <w:rPr>
          <w:bCs/>
        </w:rPr>
        <w:t>3</w:t>
      </w:r>
      <w:r>
        <w:rPr>
          <w:bCs/>
        </w:rPr>
        <w:t xml:space="preserve"> - </w:t>
      </w:r>
      <w:r w:rsidRPr="001D7FD1">
        <w:rPr>
          <w:bCs/>
        </w:rPr>
        <w:t>Антисанкционная оговорка</w:t>
      </w:r>
      <w:r w:rsidR="004B2CC3">
        <w:rPr>
          <w:bCs/>
        </w:rPr>
        <w:t>.</w:t>
      </w:r>
      <w:bookmarkStart w:id="1" w:name="_GoBack"/>
      <w:bookmarkEnd w:id="1"/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772C1D" w:rsidRPr="008E3063" w:rsidRDefault="00772C1D" w:rsidP="00772C1D">
            <w:r w:rsidRPr="008E3063">
              <w:t xml:space="preserve">р/с </w:t>
            </w:r>
            <w:r w:rsidRPr="001C2037">
              <w:t>40702810290040001681</w:t>
            </w:r>
          </w:p>
          <w:p w:rsidR="00772C1D" w:rsidRPr="008E3063" w:rsidRDefault="00772C1D" w:rsidP="00772C1D">
            <w:r w:rsidRPr="001C2037">
              <w:t>Иркутский филиал АО Ингосстрах Банк</w:t>
            </w:r>
          </w:p>
          <w:p w:rsidR="00772C1D" w:rsidRPr="008E3063" w:rsidRDefault="00772C1D" w:rsidP="00772C1D">
            <w:r w:rsidRPr="008E3063">
              <w:t xml:space="preserve">к/с </w:t>
            </w:r>
            <w:r w:rsidRPr="001C2037">
              <w:t>30101810300000000728</w:t>
            </w:r>
          </w:p>
          <w:p w:rsidR="008E3063" w:rsidRPr="008E3063" w:rsidRDefault="00772C1D" w:rsidP="00772C1D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E67324">
      <w:footerReference w:type="default" r:id="rId8"/>
      <w:pgSz w:w="11906" w:h="16838"/>
      <w:pgMar w:top="568" w:right="707" w:bottom="709" w:left="851" w:header="709" w:footer="40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102" w:rsidRDefault="00853102" w:rsidP="00F347FB">
      <w:r>
        <w:separator/>
      </w:r>
    </w:p>
  </w:endnote>
  <w:endnote w:type="continuationSeparator" w:id="0">
    <w:p w:rsidR="00853102" w:rsidRDefault="00853102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 w:rsidP="00E6732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2CC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102" w:rsidRDefault="00853102" w:rsidP="00F347FB">
      <w:r>
        <w:separator/>
      </w:r>
    </w:p>
  </w:footnote>
  <w:footnote w:type="continuationSeparator" w:id="0">
    <w:p w:rsidR="00853102" w:rsidRDefault="00853102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5C23"/>
    <w:rsid w:val="0003666A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5A55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0C38"/>
    <w:rsid w:val="000C225A"/>
    <w:rsid w:val="000C2B17"/>
    <w:rsid w:val="000C4671"/>
    <w:rsid w:val="000C57AF"/>
    <w:rsid w:val="000C6588"/>
    <w:rsid w:val="000D0790"/>
    <w:rsid w:val="000D7E83"/>
    <w:rsid w:val="000E06FE"/>
    <w:rsid w:val="000E77BA"/>
    <w:rsid w:val="000E783D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6D03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539C4"/>
    <w:rsid w:val="0016293D"/>
    <w:rsid w:val="0016462A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697"/>
    <w:rsid w:val="001829CC"/>
    <w:rsid w:val="0018469F"/>
    <w:rsid w:val="00184A50"/>
    <w:rsid w:val="00187882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D77F7"/>
    <w:rsid w:val="001D7FD1"/>
    <w:rsid w:val="001E0C82"/>
    <w:rsid w:val="001E1598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62E7"/>
    <w:rsid w:val="0020752C"/>
    <w:rsid w:val="00210A4A"/>
    <w:rsid w:val="0021149A"/>
    <w:rsid w:val="002126B4"/>
    <w:rsid w:val="00212AB6"/>
    <w:rsid w:val="00212F96"/>
    <w:rsid w:val="00213199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1D9A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4268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18B6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64EA"/>
    <w:rsid w:val="00307E52"/>
    <w:rsid w:val="00307F97"/>
    <w:rsid w:val="0031077D"/>
    <w:rsid w:val="003117B0"/>
    <w:rsid w:val="0031721C"/>
    <w:rsid w:val="003207FF"/>
    <w:rsid w:val="00323B9D"/>
    <w:rsid w:val="003242BB"/>
    <w:rsid w:val="003244DA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01E"/>
    <w:rsid w:val="003A4136"/>
    <w:rsid w:val="003A4BF2"/>
    <w:rsid w:val="003A5935"/>
    <w:rsid w:val="003A70EF"/>
    <w:rsid w:val="003B7335"/>
    <w:rsid w:val="003C0279"/>
    <w:rsid w:val="003C15DC"/>
    <w:rsid w:val="003C3882"/>
    <w:rsid w:val="003C695F"/>
    <w:rsid w:val="003C6C7B"/>
    <w:rsid w:val="003D1C41"/>
    <w:rsid w:val="003D2227"/>
    <w:rsid w:val="003D22D3"/>
    <w:rsid w:val="003D4309"/>
    <w:rsid w:val="003D514D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27A2D"/>
    <w:rsid w:val="0043073E"/>
    <w:rsid w:val="004322C2"/>
    <w:rsid w:val="00433651"/>
    <w:rsid w:val="004379EE"/>
    <w:rsid w:val="00437E90"/>
    <w:rsid w:val="00440358"/>
    <w:rsid w:val="00441C89"/>
    <w:rsid w:val="00442E91"/>
    <w:rsid w:val="00443A6F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29C2"/>
    <w:rsid w:val="00483B27"/>
    <w:rsid w:val="00484206"/>
    <w:rsid w:val="0048708C"/>
    <w:rsid w:val="0049015C"/>
    <w:rsid w:val="004904AF"/>
    <w:rsid w:val="00491519"/>
    <w:rsid w:val="00491719"/>
    <w:rsid w:val="0049176B"/>
    <w:rsid w:val="00492DF6"/>
    <w:rsid w:val="0049445D"/>
    <w:rsid w:val="00494835"/>
    <w:rsid w:val="00497577"/>
    <w:rsid w:val="004A0E10"/>
    <w:rsid w:val="004A1F03"/>
    <w:rsid w:val="004A389E"/>
    <w:rsid w:val="004A6A24"/>
    <w:rsid w:val="004A6EE6"/>
    <w:rsid w:val="004A7B40"/>
    <w:rsid w:val="004B0978"/>
    <w:rsid w:val="004B0D52"/>
    <w:rsid w:val="004B15DA"/>
    <w:rsid w:val="004B1769"/>
    <w:rsid w:val="004B19DF"/>
    <w:rsid w:val="004B2CC3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DC8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1479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A10"/>
    <w:rsid w:val="005D3D96"/>
    <w:rsid w:val="005D44CD"/>
    <w:rsid w:val="005D5E15"/>
    <w:rsid w:val="005D6232"/>
    <w:rsid w:val="005D716B"/>
    <w:rsid w:val="005D7DF4"/>
    <w:rsid w:val="005E1952"/>
    <w:rsid w:val="005E4296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1F2E"/>
    <w:rsid w:val="006022DE"/>
    <w:rsid w:val="00602537"/>
    <w:rsid w:val="00602FC1"/>
    <w:rsid w:val="0060362F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3DA3"/>
    <w:rsid w:val="00635E95"/>
    <w:rsid w:val="00641B57"/>
    <w:rsid w:val="006422F6"/>
    <w:rsid w:val="00642F19"/>
    <w:rsid w:val="00646E50"/>
    <w:rsid w:val="00646F3B"/>
    <w:rsid w:val="00650627"/>
    <w:rsid w:val="0065168D"/>
    <w:rsid w:val="00653FF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360B"/>
    <w:rsid w:val="00675047"/>
    <w:rsid w:val="00677028"/>
    <w:rsid w:val="00677C6B"/>
    <w:rsid w:val="006813B2"/>
    <w:rsid w:val="00681536"/>
    <w:rsid w:val="006822B2"/>
    <w:rsid w:val="00683086"/>
    <w:rsid w:val="00684A67"/>
    <w:rsid w:val="00684E49"/>
    <w:rsid w:val="00685009"/>
    <w:rsid w:val="00685AFF"/>
    <w:rsid w:val="00687C0C"/>
    <w:rsid w:val="006912E1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1B6B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B83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C1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51DC"/>
    <w:rsid w:val="00796AF1"/>
    <w:rsid w:val="00797685"/>
    <w:rsid w:val="007A1138"/>
    <w:rsid w:val="007A1DFE"/>
    <w:rsid w:val="007A2263"/>
    <w:rsid w:val="007A27ED"/>
    <w:rsid w:val="007A2D05"/>
    <w:rsid w:val="007A3E19"/>
    <w:rsid w:val="007A44E6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644E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26A45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102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4D9D"/>
    <w:rsid w:val="00885FDE"/>
    <w:rsid w:val="00887555"/>
    <w:rsid w:val="008878E5"/>
    <w:rsid w:val="0089022E"/>
    <w:rsid w:val="00890718"/>
    <w:rsid w:val="008910E7"/>
    <w:rsid w:val="008922CA"/>
    <w:rsid w:val="008955BD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B6489"/>
    <w:rsid w:val="008C06B9"/>
    <w:rsid w:val="008C462C"/>
    <w:rsid w:val="008C7D2F"/>
    <w:rsid w:val="008D0481"/>
    <w:rsid w:val="008D1718"/>
    <w:rsid w:val="008D1AF5"/>
    <w:rsid w:val="008D26B2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0A5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2DE1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4DA3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0B9C"/>
    <w:rsid w:val="00A63EB4"/>
    <w:rsid w:val="00A65C7C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423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30E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6E60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4DA0"/>
    <w:rsid w:val="00C36536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54C5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0FC0"/>
    <w:rsid w:val="00C8646E"/>
    <w:rsid w:val="00C86574"/>
    <w:rsid w:val="00C87FD5"/>
    <w:rsid w:val="00C91D98"/>
    <w:rsid w:val="00C91EAA"/>
    <w:rsid w:val="00C926CF"/>
    <w:rsid w:val="00C92AE8"/>
    <w:rsid w:val="00C93B7E"/>
    <w:rsid w:val="00C95276"/>
    <w:rsid w:val="00C95C70"/>
    <w:rsid w:val="00C96106"/>
    <w:rsid w:val="00C961C4"/>
    <w:rsid w:val="00C97457"/>
    <w:rsid w:val="00CA1A65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AF5"/>
    <w:rsid w:val="00D27BAE"/>
    <w:rsid w:val="00D30892"/>
    <w:rsid w:val="00D34BEC"/>
    <w:rsid w:val="00D44B1A"/>
    <w:rsid w:val="00D51A8B"/>
    <w:rsid w:val="00D52E50"/>
    <w:rsid w:val="00D5430C"/>
    <w:rsid w:val="00D54861"/>
    <w:rsid w:val="00D56C88"/>
    <w:rsid w:val="00D5710A"/>
    <w:rsid w:val="00D57559"/>
    <w:rsid w:val="00D5760E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182"/>
    <w:rsid w:val="00DD43E7"/>
    <w:rsid w:val="00DD555B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5158"/>
    <w:rsid w:val="00E16494"/>
    <w:rsid w:val="00E175E7"/>
    <w:rsid w:val="00E20F4B"/>
    <w:rsid w:val="00E27570"/>
    <w:rsid w:val="00E30003"/>
    <w:rsid w:val="00E300E5"/>
    <w:rsid w:val="00E30291"/>
    <w:rsid w:val="00E31729"/>
    <w:rsid w:val="00E34482"/>
    <w:rsid w:val="00E35E04"/>
    <w:rsid w:val="00E4064A"/>
    <w:rsid w:val="00E41354"/>
    <w:rsid w:val="00E43425"/>
    <w:rsid w:val="00E44325"/>
    <w:rsid w:val="00E448A1"/>
    <w:rsid w:val="00E44D73"/>
    <w:rsid w:val="00E45367"/>
    <w:rsid w:val="00E45772"/>
    <w:rsid w:val="00E45A87"/>
    <w:rsid w:val="00E55050"/>
    <w:rsid w:val="00E6245A"/>
    <w:rsid w:val="00E624A9"/>
    <w:rsid w:val="00E6330F"/>
    <w:rsid w:val="00E63A93"/>
    <w:rsid w:val="00E645D4"/>
    <w:rsid w:val="00E6732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F9C"/>
    <w:rsid w:val="00ED46CA"/>
    <w:rsid w:val="00ED57E8"/>
    <w:rsid w:val="00ED5AEC"/>
    <w:rsid w:val="00ED5B3B"/>
    <w:rsid w:val="00ED6C18"/>
    <w:rsid w:val="00ED79AF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B2A59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E4AC313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3D311-ED65-4E5F-B962-3267E71C7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1894</TotalTime>
  <Pages>1</Pages>
  <Words>5193</Words>
  <Characters>29601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Salmanova Mariya</cp:lastModifiedBy>
  <cp:revision>400</cp:revision>
  <cp:lastPrinted>2024-03-26T03:02:00Z</cp:lastPrinted>
  <dcterms:created xsi:type="dcterms:W3CDTF">2020-05-19T13:05:00Z</dcterms:created>
  <dcterms:modified xsi:type="dcterms:W3CDTF">2024-06-14T00:28:00Z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